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hint="eastAsia" w:ascii="仿宋" w:hAnsi="仿宋" w:eastAsia="仿宋" w:cs="仿宋"/>
          <w:sz w:val="28"/>
          <w:szCs w:val="28"/>
        </w:rPr>
      </w:pPr>
      <w:bookmarkStart w:id="0" w:name="Text"/>
      <w:r>
        <w:rPr>
          <w:rFonts w:hint="eastAsia" w:ascii="仿宋" w:hAnsi="仿宋" w:eastAsia="仿宋" w:cs="仿宋"/>
          <w:sz w:val="28"/>
          <w:szCs w:val="28"/>
        </w:rPr>
        <w:t xml:space="preserve">DG-SZ-005-4-2024 </w:t>
      </w:r>
    </w:p>
    <w:p>
      <w:pPr>
        <w:snapToGrid w:val="0"/>
        <w:spacing w:line="594" w:lineRule="exact"/>
        <w:jc w:val="center"/>
        <w:rPr>
          <w:rFonts w:eastAsia="方正小标宋简体"/>
          <w:sz w:val="44"/>
          <w:szCs w:val="44"/>
        </w:rPr>
      </w:pPr>
      <w:r>
        <w:rPr>
          <w:rFonts w:hint="eastAsia" w:eastAsia="方正小标宋简体"/>
          <w:sz w:val="44"/>
          <w:szCs w:val="44"/>
        </w:rPr>
        <w:t>东莞市老年手机产品质量监督抽查实施细则</w:t>
      </w:r>
    </w:p>
    <w:p>
      <w:pPr>
        <w:spacing w:line="440" w:lineRule="exact"/>
        <w:jc w:val="center"/>
        <w:rPr>
          <w:rFonts w:eastAsia="楷体_GB2312"/>
          <w:szCs w:val="32"/>
        </w:rPr>
      </w:pPr>
      <w:r>
        <w:rPr>
          <w:rFonts w:eastAsia="楷体_GB2312"/>
          <w:szCs w:val="32"/>
        </w:rPr>
        <w:t>（2024年版）</w:t>
      </w:r>
    </w:p>
    <w:p>
      <w:pPr>
        <w:rPr>
          <w:rFonts w:eastAsia="宋体"/>
          <w:sz w:val="21"/>
        </w:rPr>
      </w:pPr>
      <w:bookmarkStart w:id="1" w:name="_GoBack"/>
      <w:bookmarkEnd w:id="1"/>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rFonts w:hint="eastAsia"/>
          <w:szCs w:val="32"/>
        </w:rPr>
        <w:t>以随机抽样的方式在被抽样生产者、销售者的待销产品中抽取。</w:t>
      </w:r>
    </w:p>
    <w:p>
      <w:pPr>
        <w:snapToGrid w:val="0"/>
        <w:spacing w:line="560" w:lineRule="exact"/>
        <w:ind w:firstLine="632" w:firstLineChars="200"/>
        <w:rPr>
          <w:szCs w:val="32"/>
        </w:rPr>
      </w:pPr>
      <w:r>
        <w:rPr>
          <w:rFonts w:hint="eastAsia"/>
          <w:szCs w:val="32"/>
        </w:rPr>
        <w:t>随机数一般可使用随机数表等方法产生。</w:t>
      </w:r>
    </w:p>
    <w:p>
      <w:pPr>
        <w:snapToGrid w:val="0"/>
        <w:spacing w:line="560" w:lineRule="exact"/>
        <w:ind w:firstLine="632" w:firstLineChars="200"/>
        <w:rPr>
          <w:szCs w:val="32"/>
        </w:rPr>
      </w:pPr>
      <w:r>
        <w:rPr>
          <w:rFonts w:hint="eastAsia"/>
          <w:szCs w:val="32"/>
        </w:rPr>
        <w:t>每批次产品抽取样品3台，其中2台作为检验样品，1台作为备用样品。抽取产品应包括配套的充电器（若有）和附件。</w:t>
      </w:r>
    </w:p>
    <w:p>
      <w:pPr>
        <w:snapToGrid w:val="0"/>
        <w:spacing w:line="560" w:lineRule="exact"/>
        <w:ind w:firstLine="632" w:firstLineChars="200"/>
        <w:rPr>
          <w:rFonts w:eastAsia="黑体"/>
          <w:szCs w:val="32"/>
        </w:rPr>
      </w:pPr>
      <w:r>
        <w:rPr>
          <w:rFonts w:eastAsia="黑体"/>
          <w:szCs w:val="32"/>
        </w:rPr>
        <w:t>2 检验依据</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2"/>
        <w:gridCol w:w="4635"/>
        <w:gridCol w:w="32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blHeader/>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序号</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检验项目</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1</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导体的固定</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GB 4943.1-2022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2</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直接插入电网电源输出插座的设备</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GB 4943.1-2022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3</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直接安装导电金属零部件的热塑性零部件</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GB 4943.1-2022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4</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电气间隙</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 xml:space="preserve">GB 4943.1-2022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5</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爬电距离</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 xml:space="preserve">GB 4943.1-2022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6</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抗电强度试验</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GB 4943.1-2022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7</w:t>
            </w:r>
          </w:p>
        </w:tc>
        <w:tc>
          <w:tcPr>
            <w:tcW w:w="4635" w:type="dxa"/>
            <w:vAlign w:val="center"/>
          </w:tcPr>
          <w:p>
            <w:pPr>
              <w:widowControl/>
              <w:spacing w:line="300" w:lineRule="exact"/>
              <w:jc w:val="center"/>
              <w:rPr>
                <w:rFonts w:eastAsia="宋体"/>
                <w:color w:val="000000"/>
                <w:kern w:val="0"/>
                <w:sz w:val="21"/>
                <w:szCs w:val="21"/>
              </w:rPr>
            </w:pPr>
            <w:r>
              <w:rPr>
                <w:rFonts w:eastAsia="宋体"/>
                <w:color w:val="000000"/>
                <w:kern w:val="0"/>
                <w:sz w:val="21"/>
                <w:szCs w:val="21"/>
              </w:rPr>
              <w:t>预期的接触电压、接触电流和保护导体电流</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GB 4943.1-2022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8</w:t>
            </w:r>
          </w:p>
        </w:tc>
        <w:tc>
          <w:tcPr>
            <w:tcW w:w="4635" w:type="dxa"/>
            <w:vAlign w:val="center"/>
          </w:tcPr>
          <w:p>
            <w:pPr>
              <w:widowControl/>
              <w:spacing w:line="300" w:lineRule="exact"/>
              <w:jc w:val="center"/>
              <w:rPr>
                <w:rFonts w:eastAsia="宋体"/>
                <w:color w:val="000000"/>
                <w:kern w:val="0"/>
                <w:sz w:val="21"/>
                <w:szCs w:val="21"/>
              </w:rPr>
            </w:pPr>
            <w:r>
              <w:rPr>
                <w:rFonts w:eastAsia="宋体"/>
                <w:color w:val="000000"/>
                <w:kern w:val="0"/>
                <w:sz w:val="21"/>
                <w:szCs w:val="21"/>
              </w:rPr>
              <w:t>热灼伤</w:t>
            </w:r>
            <w:r>
              <w:rPr>
                <w:rFonts w:hint="eastAsia" w:eastAsia="宋体"/>
                <w:color w:val="000000"/>
                <w:kern w:val="0"/>
                <w:sz w:val="21"/>
                <w:szCs w:val="21"/>
              </w:rPr>
              <w:t>(接触温度限值</w:t>
            </w:r>
            <w:r>
              <w:rPr>
                <w:rFonts w:eastAsia="宋体"/>
                <w:color w:val="000000"/>
                <w:kern w:val="0"/>
                <w:sz w:val="21"/>
                <w:szCs w:val="21"/>
              </w:rPr>
              <w:t>)</w:t>
            </w:r>
          </w:p>
        </w:tc>
        <w:tc>
          <w:tcPr>
            <w:tcW w:w="3297"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GB 4943.1-2022</w:t>
            </w:r>
            <w:r>
              <w:rPr>
                <w:rFonts w:eastAsia="宋体"/>
                <w:color w:val="000000"/>
                <w:kern w:val="0"/>
                <w:sz w:val="21"/>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eastAsia="宋体"/>
                <w:color w:val="000000"/>
                <w:kern w:val="0"/>
                <w:sz w:val="21"/>
                <w:szCs w:val="21"/>
              </w:rPr>
              <w:t>9</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辐射杂散骚扰</w:t>
            </w:r>
          </w:p>
        </w:tc>
        <w:tc>
          <w:tcPr>
            <w:tcW w:w="3297" w:type="dxa"/>
            <w:vMerge w:val="restart"/>
            <w:vAlign w:val="center"/>
          </w:tcPr>
          <w:p>
            <w:pPr>
              <w:widowControl/>
              <w:spacing w:line="300" w:lineRule="exact"/>
              <w:jc w:val="center"/>
              <w:rPr>
                <w:rFonts w:eastAsia="宋体"/>
                <w:color w:val="000000"/>
                <w:kern w:val="0"/>
                <w:sz w:val="21"/>
                <w:szCs w:val="21"/>
              </w:rPr>
            </w:pPr>
            <w:r>
              <w:rPr>
                <w:rFonts w:eastAsia="宋体"/>
                <w:color w:val="000000"/>
                <w:kern w:val="0"/>
                <w:sz w:val="21"/>
                <w:szCs w:val="21"/>
              </w:rPr>
              <w:t xml:space="preserve">GB/T 22450.1-2008 </w:t>
            </w:r>
          </w:p>
          <w:p>
            <w:pPr>
              <w:widowControl/>
              <w:spacing w:line="300" w:lineRule="exact"/>
              <w:jc w:val="center"/>
              <w:rPr>
                <w:rFonts w:eastAsia="宋体"/>
                <w:color w:val="000000"/>
                <w:kern w:val="0"/>
                <w:sz w:val="21"/>
                <w:szCs w:val="21"/>
              </w:rPr>
            </w:pPr>
            <w:r>
              <w:rPr>
                <w:rFonts w:eastAsia="宋体"/>
                <w:color w:val="000000"/>
                <w:kern w:val="0"/>
                <w:sz w:val="21"/>
                <w:szCs w:val="21"/>
              </w:rPr>
              <w:t>GB/T 19484.1-2013</w:t>
            </w:r>
          </w:p>
          <w:p>
            <w:pPr>
              <w:widowControl/>
              <w:spacing w:line="300" w:lineRule="exact"/>
              <w:jc w:val="center"/>
              <w:rPr>
                <w:rFonts w:eastAsia="宋体"/>
                <w:color w:val="000000"/>
                <w:kern w:val="0"/>
                <w:sz w:val="21"/>
                <w:szCs w:val="21"/>
              </w:rPr>
            </w:pPr>
            <w:r>
              <w:rPr>
                <w:rFonts w:eastAsia="宋体"/>
                <w:color w:val="000000"/>
                <w:kern w:val="0"/>
                <w:sz w:val="21"/>
                <w:szCs w:val="21"/>
              </w:rPr>
              <w:t>YD/T 1595.1-2012</w:t>
            </w:r>
          </w:p>
          <w:p>
            <w:pPr>
              <w:widowControl/>
              <w:spacing w:line="300" w:lineRule="exact"/>
              <w:jc w:val="center"/>
              <w:rPr>
                <w:rFonts w:eastAsia="宋体"/>
                <w:color w:val="000000"/>
                <w:kern w:val="0"/>
                <w:sz w:val="21"/>
                <w:szCs w:val="21"/>
              </w:rPr>
            </w:pPr>
            <w:r>
              <w:rPr>
                <w:rFonts w:eastAsia="宋体"/>
                <w:color w:val="000000"/>
                <w:kern w:val="0"/>
                <w:sz w:val="21"/>
                <w:szCs w:val="21"/>
              </w:rPr>
              <w:t>YD/T 1592.1-2012</w:t>
            </w:r>
          </w:p>
          <w:p>
            <w:pPr>
              <w:widowControl/>
              <w:spacing w:line="300" w:lineRule="exact"/>
              <w:jc w:val="center"/>
              <w:rPr>
                <w:rFonts w:eastAsia="宋体"/>
                <w:color w:val="000000"/>
                <w:kern w:val="0"/>
                <w:sz w:val="21"/>
                <w:szCs w:val="21"/>
              </w:rPr>
            </w:pPr>
            <w:r>
              <w:rPr>
                <w:rFonts w:eastAsia="宋体"/>
                <w:color w:val="000000"/>
                <w:kern w:val="0"/>
                <w:sz w:val="21"/>
                <w:szCs w:val="21"/>
              </w:rPr>
              <w:t>YD/T 2583.14-2013</w:t>
            </w:r>
          </w:p>
          <w:p>
            <w:pPr>
              <w:widowControl/>
              <w:spacing w:line="300" w:lineRule="exact"/>
              <w:jc w:val="center"/>
              <w:rPr>
                <w:rFonts w:eastAsia="宋体"/>
                <w:color w:val="000000"/>
                <w:kern w:val="0"/>
                <w:sz w:val="21"/>
                <w:szCs w:val="21"/>
              </w:rPr>
            </w:pPr>
            <w:r>
              <w:rPr>
                <w:rFonts w:eastAsia="宋体"/>
                <w:color w:val="000000"/>
                <w:kern w:val="0"/>
                <w:sz w:val="21"/>
                <w:szCs w:val="21"/>
              </w:rPr>
              <w:t>YD/T 2583.18-2019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eastAsia="宋体"/>
                <w:color w:val="000000"/>
                <w:kern w:val="0"/>
                <w:sz w:val="21"/>
                <w:szCs w:val="21"/>
              </w:rPr>
              <w:t>10</w:t>
            </w:r>
          </w:p>
        </w:tc>
        <w:tc>
          <w:tcPr>
            <w:tcW w:w="4635"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AC 电源输入/输出端口的传导连续骚扰</w:t>
            </w:r>
          </w:p>
        </w:tc>
        <w:tc>
          <w:tcPr>
            <w:tcW w:w="3297" w:type="dxa"/>
            <w:vMerge w:val="continue"/>
            <w:vAlign w:val="center"/>
          </w:tcPr>
          <w:p>
            <w:pPr>
              <w:widowControl/>
              <w:spacing w:line="300" w:lineRule="exact"/>
              <w:jc w:val="center"/>
              <w:rPr>
                <w:rFonts w:eastAsia="宋体"/>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vAlign w:val="center"/>
          </w:tcPr>
          <w:p>
            <w:pPr>
              <w:widowControl/>
              <w:spacing w:line="300" w:lineRule="exact"/>
              <w:jc w:val="center"/>
              <w:rPr>
                <w:rFonts w:eastAsia="宋体"/>
                <w:color w:val="000000"/>
                <w:kern w:val="0"/>
                <w:sz w:val="21"/>
                <w:szCs w:val="21"/>
              </w:rPr>
            </w:pPr>
            <w:r>
              <w:rPr>
                <w:rFonts w:hint="eastAsia" w:eastAsia="宋体"/>
                <w:color w:val="000000"/>
                <w:kern w:val="0"/>
                <w:sz w:val="21"/>
                <w:szCs w:val="21"/>
              </w:rPr>
              <w:t>11</w:t>
            </w:r>
          </w:p>
        </w:tc>
        <w:tc>
          <w:tcPr>
            <w:tcW w:w="4635" w:type="dxa"/>
          </w:tcPr>
          <w:p>
            <w:pPr>
              <w:snapToGrid w:val="0"/>
              <w:jc w:val="center"/>
              <w:rPr>
                <w:rFonts w:ascii="Arial" w:hAnsi="Arial" w:eastAsia="宋体" w:cs="Arial"/>
                <w:snapToGrid w:val="0"/>
                <w:color w:val="000000"/>
                <w:sz w:val="21"/>
                <w:szCs w:val="21"/>
              </w:rPr>
            </w:pPr>
            <w:r>
              <w:rPr>
                <w:rFonts w:hint="eastAsia" w:eastAsia="宋体"/>
                <w:color w:val="000000"/>
                <w:sz w:val="21"/>
                <w:szCs w:val="21"/>
              </w:rPr>
              <w:t>30MHz-1000MHz辐射连续骚扰</w:t>
            </w:r>
          </w:p>
        </w:tc>
        <w:tc>
          <w:tcPr>
            <w:tcW w:w="3297" w:type="dxa"/>
            <w:vMerge w:val="continue"/>
            <w:vAlign w:val="center"/>
          </w:tcPr>
          <w:p>
            <w:pPr>
              <w:widowControl/>
              <w:spacing w:line="300" w:lineRule="exact"/>
              <w:jc w:val="center"/>
              <w:rPr>
                <w:rFonts w:eastAsia="宋体"/>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tcPr>
          <w:p>
            <w:pPr>
              <w:widowControl/>
              <w:spacing w:line="300" w:lineRule="exact"/>
              <w:jc w:val="center"/>
              <w:rPr>
                <w:rFonts w:eastAsia="宋体"/>
                <w:color w:val="000000"/>
                <w:kern w:val="0"/>
                <w:sz w:val="21"/>
                <w:szCs w:val="21"/>
              </w:rPr>
            </w:pPr>
            <w:r>
              <w:rPr>
                <w:rFonts w:hint="eastAsia" w:eastAsia="宋体"/>
                <w:color w:val="000000"/>
                <w:kern w:val="0"/>
                <w:sz w:val="21"/>
                <w:szCs w:val="21"/>
              </w:rPr>
              <w:t>12</w:t>
            </w:r>
          </w:p>
        </w:tc>
        <w:tc>
          <w:tcPr>
            <w:tcW w:w="4635" w:type="dxa"/>
            <w:vAlign w:val="center"/>
          </w:tcPr>
          <w:p>
            <w:pPr>
              <w:snapToGrid w:val="0"/>
              <w:jc w:val="center"/>
              <w:rPr>
                <w:rFonts w:ascii="Arial" w:hAnsi="Arial" w:eastAsia="宋体" w:cs="Arial"/>
                <w:snapToGrid w:val="0"/>
                <w:color w:val="000000"/>
                <w:sz w:val="21"/>
                <w:szCs w:val="21"/>
              </w:rPr>
            </w:pPr>
            <w:r>
              <w:rPr>
                <w:rFonts w:eastAsia="宋体"/>
                <w:color w:val="000000"/>
                <w:sz w:val="21"/>
                <w:szCs w:val="21"/>
              </w:rPr>
              <w:t>静电放电抗扰度</w:t>
            </w:r>
          </w:p>
        </w:tc>
        <w:tc>
          <w:tcPr>
            <w:tcW w:w="3297" w:type="dxa"/>
            <w:vMerge w:val="continue"/>
          </w:tcPr>
          <w:p>
            <w:pPr>
              <w:widowControl/>
              <w:spacing w:line="300" w:lineRule="exact"/>
              <w:jc w:val="center"/>
              <w:rPr>
                <w:rFonts w:eastAsia="宋体"/>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tcPr>
          <w:p>
            <w:pPr>
              <w:widowControl/>
              <w:spacing w:line="300" w:lineRule="exact"/>
              <w:jc w:val="center"/>
              <w:rPr>
                <w:rFonts w:eastAsia="宋体"/>
                <w:color w:val="000000"/>
                <w:kern w:val="0"/>
                <w:sz w:val="21"/>
                <w:szCs w:val="21"/>
              </w:rPr>
            </w:pPr>
            <w:r>
              <w:rPr>
                <w:rFonts w:hint="eastAsia" w:eastAsia="宋体"/>
                <w:color w:val="000000"/>
                <w:kern w:val="0"/>
                <w:sz w:val="21"/>
                <w:szCs w:val="21"/>
              </w:rPr>
              <w:t>13</w:t>
            </w:r>
          </w:p>
        </w:tc>
        <w:tc>
          <w:tcPr>
            <w:tcW w:w="4635" w:type="dxa"/>
            <w:vAlign w:val="center"/>
          </w:tcPr>
          <w:p>
            <w:pPr>
              <w:snapToGrid w:val="0"/>
              <w:jc w:val="center"/>
              <w:rPr>
                <w:rFonts w:ascii="Arial" w:hAnsi="Arial" w:eastAsia="宋体" w:cs="Arial"/>
                <w:snapToGrid w:val="0"/>
                <w:color w:val="000000"/>
                <w:sz w:val="21"/>
                <w:szCs w:val="21"/>
              </w:rPr>
            </w:pPr>
            <w:r>
              <w:rPr>
                <w:rFonts w:eastAsia="宋体"/>
                <w:color w:val="000000"/>
                <w:sz w:val="21"/>
                <w:szCs w:val="21"/>
              </w:rPr>
              <w:t>电快速瞬变脉冲群抗扰度</w:t>
            </w:r>
          </w:p>
        </w:tc>
        <w:tc>
          <w:tcPr>
            <w:tcW w:w="3297" w:type="dxa"/>
            <w:vMerge w:val="continue"/>
          </w:tcPr>
          <w:p>
            <w:pPr>
              <w:widowControl/>
              <w:spacing w:line="300" w:lineRule="exact"/>
              <w:jc w:val="center"/>
              <w:rPr>
                <w:rFonts w:eastAsia="宋体"/>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32" w:type="dxa"/>
          </w:tcPr>
          <w:p>
            <w:pPr>
              <w:widowControl/>
              <w:spacing w:line="300" w:lineRule="exact"/>
              <w:jc w:val="center"/>
              <w:rPr>
                <w:rFonts w:eastAsia="宋体"/>
                <w:color w:val="000000"/>
                <w:kern w:val="0"/>
                <w:sz w:val="21"/>
                <w:szCs w:val="21"/>
              </w:rPr>
            </w:pPr>
            <w:r>
              <w:rPr>
                <w:rFonts w:hint="eastAsia" w:eastAsia="宋体"/>
                <w:color w:val="000000"/>
                <w:kern w:val="0"/>
                <w:sz w:val="21"/>
                <w:szCs w:val="21"/>
              </w:rPr>
              <w:t>14</w:t>
            </w:r>
          </w:p>
        </w:tc>
        <w:tc>
          <w:tcPr>
            <w:tcW w:w="4635" w:type="dxa"/>
            <w:vAlign w:val="center"/>
          </w:tcPr>
          <w:p>
            <w:pPr>
              <w:snapToGrid w:val="0"/>
              <w:jc w:val="center"/>
              <w:rPr>
                <w:rFonts w:ascii="Arial" w:hAnsi="Arial" w:eastAsia="宋体" w:cs="Arial"/>
                <w:snapToGrid w:val="0"/>
                <w:color w:val="000000"/>
                <w:sz w:val="21"/>
                <w:szCs w:val="21"/>
              </w:rPr>
            </w:pPr>
            <w:r>
              <w:rPr>
                <w:rFonts w:eastAsia="宋体"/>
                <w:color w:val="000000"/>
                <w:sz w:val="21"/>
                <w:szCs w:val="21"/>
              </w:rPr>
              <w:t>浪涌（冲击）抗扰度</w:t>
            </w:r>
          </w:p>
        </w:tc>
        <w:tc>
          <w:tcPr>
            <w:tcW w:w="3297" w:type="dxa"/>
            <w:vMerge w:val="continue"/>
          </w:tcPr>
          <w:p>
            <w:pPr>
              <w:widowControl/>
              <w:spacing w:line="300" w:lineRule="exact"/>
              <w:jc w:val="center"/>
              <w:rPr>
                <w:rFonts w:eastAsia="宋体"/>
                <w:color w:val="000000"/>
                <w:kern w:val="0"/>
                <w:sz w:val="21"/>
                <w:szCs w:val="21"/>
              </w:rPr>
            </w:pPr>
          </w:p>
        </w:tc>
      </w:tr>
    </w:tbl>
    <w:p>
      <w:pPr>
        <w:snapToGrid w:val="0"/>
        <w:spacing w:line="560" w:lineRule="exact"/>
        <w:ind w:firstLine="632" w:firstLineChars="200"/>
        <w:rPr>
          <w:szCs w:val="32"/>
        </w:rPr>
      </w:pPr>
      <w:r>
        <w:rPr>
          <w:rFonts w:hint="eastAsia"/>
          <w:szCs w:val="32"/>
        </w:rPr>
        <w:t>注：（1）支持 GSM/GPRS 制式的手机适用：GB/T 22450.1-2008</w:t>
      </w:r>
    </w:p>
    <w:p>
      <w:pPr>
        <w:snapToGrid w:val="0"/>
        <w:spacing w:line="560" w:lineRule="exact"/>
        <w:ind w:firstLine="632" w:firstLineChars="200"/>
        <w:rPr>
          <w:szCs w:val="32"/>
        </w:rPr>
      </w:pPr>
      <w:r>
        <w:rPr>
          <w:rFonts w:hint="eastAsia"/>
          <w:szCs w:val="32"/>
        </w:rPr>
        <w:t>（2）支持 CDMA/cdma2000 制式的手机适用：GB/T 19484.1-2013</w:t>
      </w:r>
    </w:p>
    <w:p>
      <w:pPr>
        <w:snapToGrid w:val="0"/>
        <w:spacing w:line="560" w:lineRule="exact"/>
        <w:ind w:firstLine="632" w:firstLineChars="200"/>
        <w:rPr>
          <w:szCs w:val="32"/>
        </w:rPr>
      </w:pPr>
      <w:r>
        <w:rPr>
          <w:rFonts w:hint="eastAsia"/>
          <w:szCs w:val="32"/>
        </w:rPr>
        <w:t>（3）支持 WCDMA 制式的手机适用：YD/T 1595.1-2012</w:t>
      </w:r>
    </w:p>
    <w:p>
      <w:pPr>
        <w:snapToGrid w:val="0"/>
        <w:spacing w:line="560" w:lineRule="exact"/>
        <w:ind w:firstLine="632" w:firstLineChars="200"/>
        <w:rPr>
          <w:szCs w:val="32"/>
        </w:rPr>
      </w:pPr>
      <w:r>
        <w:rPr>
          <w:rFonts w:hint="eastAsia"/>
          <w:szCs w:val="32"/>
        </w:rPr>
        <w:t>（4）支持 TD-SCDMA 制式的手机适用：YD/T 1592.1-2012</w:t>
      </w:r>
    </w:p>
    <w:p>
      <w:pPr>
        <w:snapToGrid w:val="0"/>
        <w:spacing w:line="560" w:lineRule="exact"/>
        <w:ind w:firstLine="632" w:firstLineChars="200"/>
        <w:rPr>
          <w:szCs w:val="32"/>
        </w:rPr>
      </w:pPr>
      <w:r>
        <w:rPr>
          <w:rFonts w:hint="eastAsia"/>
          <w:szCs w:val="32"/>
        </w:rPr>
        <w:t>（5）支持 LTE 制式的手机适用：YD/T 2583.14-2013</w:t>
      </w:r>
    </w:p>
    <w:p>
      <w:pPr>
        <w:snapToGrid w:val="0"/>
        <w:spacing w:line="560" w:lineRule="exact"/>
        <w:ind w:firstLine="632" w:firstLineChars="200"/>
        <w:rPr>
          <w:szCs w:val="32"/>
        </w:rPr>
      </w:pPr>
      <w:r>
        <w:rPr>
          <w:rFonts w:hint="eastAsia"/>
          <w:szCs w:val="32"/>
        </w:rPr>
        <w:t>（6）支持 5G 制式的手机适用：YD/T 2583.18-2019</w:t>
      </w:r>
    </w:p>
    <w:p>
      <w:pPr>
        <w:snapToGrid w:val="0"/>
        <w:spacing w:line="560" w:lineRule="exact"/>
        <w:ind w:firstLine="632" w:firstLineChars="200"/>
        <w:rPr>
          <w:szCs w:val="32"/>
        </w:rPr>
      </w:pPr>
      <w:r>
        <w:rPr>
          <w:rFonts w:hint="eastAsia"/>
          <w:szCs w:val="32"/>
        </w:rPr>
        <w:t>（7）对于覆盖多个制式的多模手机，按产品支持的任一制式进行检测</w:t>
      </w:r>
    </w:p>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6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60" w:lineRule="exact"/>
        <w:ind w:firstLine="632" w:firstLineChars="200"/>
        <w:rPr>
          <w:szCs w:val="32"/>
        </w:rPr>
      </w:pPr>
      <w:r>
        <w:rPr>
          <w:rFonts w:hint="eastAsia"/>
          <w:szCs w:val="32"/>
        </w:rPr>
        <w:t>3.1依据标准</w:t>
      </w:r>
    </w:p>
    <w:p>
      <w:pPr>
        <w:snapToGrid w:val="0"/>
        <w:spacing w:line="560" w:lineRule="exact"/>
        <w:ind w:firstLine="632" w:firstLineChars="200"/>
        <w:rPr>
          <w:szCs w:val="32"/>
        </w:rPr>
      </w:pPr>
      <w:r>
        <w:rPr>
          <w:rFonts w:hint="eastAsia"/>
          <w:szCs w:val="32"/>
        </w:rPr>
        <w:t>GB 4943.1-2022《音视频、信息技术和通信技术设备第1部分:安全要求》</w:t>
      </w:r>
    </w:p>
    <w:p>
      <w:pPr>
        <w:snapToGrid w:val="0"/>
        <w:spacing w:line="560" w:lineRule="exact"/>
        <w:ind w:firstLine="632" w:firstLineChars="200"/>
        <w:rPr>
          <w:szCs w:val="32"/>
        </w:rPr>
      </w:pPr>
      <w:r>
        <w:rPr>
          <w:rFonts w:hint="eastAsia"/>
          <w:szCs w:val="32"/>
        </w:rPr>
        <w:t>GB/T 22450.1-2008《900/1800 MHz TDMA数字蜂窝移动通信系统电磁兼容性限值和测量方法 第1部分：移动台及其辅助设备》</w:t>
      </w:r>
    </w:p>
    <w:p>
      <w:pPr>
        <w:snapToGrid w:val="0"/>
        <w:spacing w:line="560" w:lineRule="exact"/>
        <w:ind w:firstLine="632" w:firstLineChars="200"/>
        <w:rPr>
          <w:szCs w:val="32"/>
        </w:rPr>
      </w:pPr>
      <w:r>
        <w:rPr>
          <w:rFonts w:hint="eastAsia"/>
          <w:szCs w:val="32"/>
        </w:rPr>
        <w:t>GB/T 19484.1-2013 《800 MHz/2 GHz cdma2000数字蜂窝移动通信系统的电磁兼容性要求和测量方法 第1部分：用户设备及其辅助设备》</w:t>
      </w:r>
    </w:p>
    <w:p>
      <w:pPr>
        <w:snapToGrid w:val="0"/>
        <w:spacing w:line="560" w:lineRule="exact"/>
        <w:ind w:firstLine="632" w:firstLineChars="200"/>
        <w:rPr>
          <w:szCs w:val="32"/>
        </w:rPr>
      </w:pPr>
      <w:r>
        <w:rPr>
          <w:rFonts w:hint="eastAsia"/>
          <w:szCs w:val="32"/>
        </w:rPr>
        <w:t>YD/T 1595.1-2012 《2GHz WCDMA数字蜂窝移动通信系统的电磁兼容性要求和测量方法 第1部分：用户设备及其辅助设备》</w:t>
      </w:r>
    </w:p>
    <w:p>
      <w:pPr>
        <w:snapToGrid w:val="0"/>
        <w:spacing w:line="560" w:lineRule="exact"/>
        <w:ind w:firstLine="632" w:firstLineChars="200"/>
        <w:rPr>
          <w:szCs w:val="32"/>
        </w:rPr>
      </w:pPr>
      <w:r>
        <w:rPr>
          <w:rFonts w:hint="eastAsia"/>
          <w:szCs w:val="32"/>
        </w:rPr>
        <w:t>YD/T 1592.1-2012 《2GHz TD-SCDMA数字蜂窝移动通信系统电磁兼容性要求和测量方法 第1部分：用户设备及其辅助设备》</w:t>
      </w:r>
    </w:p>
    <w:p>
      <w:pPr>
        <w:snapToGrid w:val="0"/>
        <w:spacing w:line="560" w:lineRule="exact"/>
        <w:ind w:firstLine="632" w:firstLineChars="200"/>
        <w:rPr>
          <w:szCs w:val="32"/>
        </w:rPr>
      </w:pPr>
      <w:r>
        <w:rPr>
          <w:rFonts w:hint="eastAsia"/>
          <w:szCs w:val="32"/>
        </w:rPr>
        <w:t>YD/T 2583.14-2013 《蜂窝式移动通信设备电磁兼容性能要求和测量方法 第14部分：LTE用户设备及其辅助设备》</w:t>
      </w:r>
    </w:p>
    <w:p>
      <w:pPr>
        <w:snapToGrid w:val="0"/>
        <w:spacing w:line="560" w:lineRule="exact"/>
        <w:ind w:firstLine="632" w:firstLineChars="200"/>
        <w:rPr>
          <w:szCs w:val="32"/>
        </w:rPr>
      </w:pPr>
      <w:r>
        <w:rPr>
          <w:rFonts w:hint="eastAsia"/>
          <w:szCs w:val="32"/>
        </w:rPr>
        <w:t>YD/T 2583.18-2019 《蜂窝式移动通信设备电磁兼容性能要求和测量方法 第18部分：5G用户设备和辅助设备》</w:t>
      </w:r>
    </w:p>
    <w:p>
      <w:pPr>
        <w:snapToGrid w:val="0"/>
        <w:spacing w:line="560" w:lineRule="exact"/>
        <w:ind w:firstLine="632" w:firstLineChars="200"/>
        <w:rPr>
          <w:szCs w:val="32"/>
        </w:rPr>
      </w:pPr>
      <w:r>
        <w:rPr>
          <w:rFonts w:hint="eastAsia"/>
          <w:szCs w:val="32"/>
        </w:rPr>
        <w:t>现行有效的企业标准、团体标准、地方标准及产品明示质量要求。</w:t>
      </w:r>
    </w:p>
    <w:p>
      <w:pPr>
        <w:snapToGrid w:val="0"/>
        <w:spacing w:line="560" w:lineRule="exact"/>
        <w:ind w:firstLine="632" w:firstLineChars="200"/>
        <w:rPr>
          <w:szCs w:val="32"/>
        </w:rPr>
      </w:pPr>
      <w:r>
        <w:rPr>
          <w:rFonts w:hint="eastAsia"/>
          <w:szCs w:val="32"/>
        </w:rPr>
        <w:t>3.2 判定原则</w:t>
      </w:r>
    </w:p>
    <w:p>
      <w:pPr>
        <w:snapToGrid w:val="0"/>
        <w:spacing w:line="56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6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6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6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若被检产品明示的质量要求缺少本细则中检验项目依据的推荐性标准要求时，该项目不参与判定。</w:t>
      </w:r>
    </w:p>
    <w:bookmarkEnd w:id="0"/>
    <w:p>
      <w:pPr>
        <w:snapToGrid w:val="0"/>
        <w:spacing w:line="560" w:lineRule="exact"/>
        <w:ind w:firstLine="632" w:firstLineChars="200"/>
        <w:rPr>
          <w:szCs w:val="32"/>
        </w:rPr>
      </w:pPr>
    </w:p>
    <w:sectPr>
      <w:headerReference r:id="rId3" w:type="default"/>
      <w:footerReference r:id="rId4"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300" w:lineRule="exact"/>
      <w:ind w:right="374" w:rightChars="117" w:firstLine="217" w:firstLineChars="121"/>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tabs>
        <w:tab w:val="left" w:pos="2355"/>
        <w:tab w:val="center" w:pos="4479"/>
      </w:tabs>
      <w:jc w:val="left"/>
      <w:rPr>
        <w:rFonts w:eastAsia="宋体"/>
      </w:rPr>
    </w:pPr>
    <w:r>
      <w:rPr>
        <w:rFonts w:eastAsia="宋体"/>
      </w:rPr>
      <w:tab/>
    </w:r>
  </w:p>
  <w:p>
    <w:pPr>
      <w:pStyle w:val="4"/>
      <w:pBdr>
        <w:bottom w:val="none" w:color="auto" w:sz="0" w:space="0"/>
      </w:pBdr>
      <w:rPr>
        <w:rFonts w:eastAsia="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4E8835BC"/>
    <w:rsid w:val="00A532F7"/>
    <w:rsid w:val="00CB6204"/>
    <w:rsid w:val="00D929A2"/>
    <w:rsid w:val="27E917D6"/>
    <w:rsid w:val="4E731643"/>
    <w:rsid w:val="4E883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4</Pages>
  <Words>1177</Words>
  <Characters>1629</Characters>
  <Lines>12</Lines>
  <Paragraphs>3</Paragraphs>
  <TotalTime>10</TotalTime>
  <ScaleCrop>false</ScaleCrop>
  <LinksUpToDate>false</LinksUpToDate>
  <CharactersWithSpaces>1695</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wanghy</cp:lastModifiedBy>
  <dcterms:modified xsi:type="dcterms:W3CDTF">2024-04-28T09:37:39Z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321D9E9C2C7649B2A4461C7722E3D295</vt:lpwstr>
  </property>
</Properties>
</file>